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44" w:rsidRPr="008653A3" w:rsidRDefault="00DF4744" w:rsidP="008653A3">
      <w:pPr>
        <w:spacing w:after="0" w:line="312" w:lineRule="auto"/>
        <w:jc w:val="center"/>
        <w:rPr>
          <w:rFonts w:ascii="Roboto" w:hAnsi="Roboto"/>
          <w:sz w:val="24"/>
          <w:szCs w:val="24"/>
          <w:lang w:val="ca-ES"/>
        </w:rPr>
      </w:pPr>
      <w:r w:rsidRPr="00C26F5A">
        <w:rPr>
          <w:rFonts w:ascii="Roboto" w:hAnsi="Roboto"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alt="logo ajuntament nou.bmp" style="width:274.5pt;height:57.75pt;visibility:visible">
            <v:imagedata r:id="rId5" o:title=""/>
          </v:shape>
        </w:pict>
      </w:r>
    </w:p>
    <w:p w:rsidR="00DF4744" w:rsidRPr="00111686" w:rsidRDefault="00DF4744" w:rsidP="00111686">
      <w:pPr>
        <w:pStyle w:val="ListParagraph"/>
        <w:spacing w:line="312" w:lineRule="auto"/>
        <w:jc w:val="center"/>
        <w:rPr>
          <w:rFonts w:ascii="Roboto" w:hAnsi="Roboto"/>
          <w:b/>
          <w:sz w:val="30"/>
          <w:szCs w:val="30"/>
        </w:rPr>
      </w:pPr>
      <w:r w:rsidRPr="00111686">
        <w:rPr>
          <w:rFonts w:ascii="Roboto" w:hAnsi="Roboto"/>
          <w:b/>
          <w:sz w:val="30"/>
          <w:szCs w:val="30"/>
        </w:rPr>
        <w:t>Cultura pone en marcha un plan de choque para p</w:t>
      </w:r>
      <w:r>
        <w:rPr>
          <w:rFonts w:ascii="Roboto" w:hAnsi="Roboto"/>
          <w:b/>
          <w:sz w:val="30"/>
          <w:szCs w:val="30"/>
        </w:rPr>
        <w:t xml:space="preserve">aliar  los efectos del Covid19 en el </w:t>
      </w:r>
      <w:r w:rsidRPr="00111686">
        <w:rPr>
          <w:rFonts w:ascii="Roboto" w:hAnsi="Roboto"/>
          <w:b/>
          <w:sz w:val="30"/>
          <w:szCs w:val="30"/>
        </w:rPr>
        <w:t>sector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/>
          <w:sz w:val="30"/>
          <w:szCs w:val="30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 xml:space="preserve">El ecosistema cultural de Palma está formado por un amplio conjunto de agentes, espacios y prácticas culturales que enriquecen la vida cultural y social de nuestra ciudad. Ahora más que nunca es imprescindible que </w:t>
      </w:r>
      <w:smartTag w:uri="urn:schemas-microsoft-com:office:smarttags" w:element="PersonName">
        <w:smartTagPr>
          <w:attr w:name="ProductID" w:val="la Administración"/>
        </w:smartTagPr>
        <w:r w:rsidRPr="00111686">
          <w:rPr>
            <w:rFonts w:ascii="Roboto" w:hAnsi="Roboto"/>
            <w:bCs/>
          </w:rPr>
          <w:t>la Administración</w:t>
        </w:r>
      </w:smartTag>
      <w:r w:rsidRPr="00111686">
        <w:rPr>
          <w:rFonts w:ascii="Roboto" w:hAnsi="Roboto"/>
          <w:bCs/>
        </w:rPr>
        <w:t xml:space="preserve"> apoye las iniciativas de asociaciones, empresas y profesionales de la cultura a través de las convocatorias de ayudas.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>Las medidas se resumen en los siguientes 10 puntos: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 xml:space="preserve">1. Convocatoria de ayudas para minimizar </w:t>
      </w:r>
      <w:r>
        <w:rPr>
          <w:rFonts w:ascii="Roboto" w:hAnsi="Roboto"/>
          <w:bCs/>
        </w:rPr>
        <w:t>los efectos negativos del Covid</w:t>
      </w:r>
      <w:r w:rsidRPr="00111686">
        <w:rPr>
          <w:rFonts w:ascii="Roboto" w:hAnsi="Roboto"/>
          <w:bCs/>
        </w:rPr>
        <w:t xml:space="preserve">-19 en el sector cultural. </w:t>
      </w:r>
      <w:smartTag w:uri="urn:schemas-microsoft-com:office:smarttags" w:element="PersonName">
        <w:smartTagPr>
          <w:attr w:name="ProductID" w:val="La Convocatoria"/>
        </w:smartTagPr>
        <w:r w:rsidRPr="00111686">
          <w:rPr>
            <w:rFonts w:ascii="Roboto" w:hAnsi="Roboto"/>
            <w:bCs/>
          </w:rPr>
          <w:t>La Convocatoria</w:t>
        </w:r>
      </w:smartTag>
      <w:r w:rsidRPr="00111686">
        <w:rPr>
          <w:rFonts w:ascii="Roboto" w:hAnsi="Roboto"/>
          <w:bCs/>
        </w:rPr>
        <w:t xml:space="preserve"> de ayudas para espacios culturales triplica su dotación hasta los 150.000 euros y </w:t>
      </w:r>
      <w:smartTag w:uri="urn:schemas-microsoft-com:office:smarttags" w:element="PersonName">
        <w:smartTagPr>
          <w:attr w:name="ProductID" w:val="La Convocatoria"/>
        </w:smartTagPr>
        <w:r w:rsidRPr="00111686">
          <w:rPr>
            <w:rFonts w:ascii="Roboto" w:hAnsi="Roboto"/>
            <w:bCs/>
          </w:rPr>
          <w:t>la Convocatoria</w:t>
        </w:r>
      </w:smartTag>
      <w:r w:rsidRPr="00111686">
        <w:rPr>
          <w:rFonts w:ascii="Roboto" w:hAnsi="Roboto"/>
          <w:bCs/>
        </w:rPr>
        <w:t xml:space="preserve"> para proyectos de dinamización cultural de la ciudad y otras iniciativas culturales alcanzará los 100.000 euros.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 xml:space="preserve">2. Aplazamiento de las actividades afectadas por el cierre de los espacios culturales y adelanto del 50 por ciento del caché. Ninguna actividad cultural organizada por el Ayuntamiento de Palma </w:t>
      </w:r>
      <w:r>
        <w:rPr>
          <w:rFonts w:ascii="Roboto" w:hAnsi="Roboto"/>
          <w:bCs/>
        </w:rPr>
        <w:t xml:space="preserve">se </w:t>
      </w:r>
      <w:r w:rsidRPr="00111686">
        <w:rPr>
          <w:rFonts w:ascii="Roboto" w:hAnsi="Roboto"/>
          <w:bCs/>
        </w:rPr>
        <w:t>ha suspendido sino que se ha reprogramado en los próximos meses. El Ayuntamiento asumirá los gastos generados por este aplazamiento y se abonará el 50% del caché o precio del contrato por adelantado en concepto de preparación y producción.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>3. Mejora de las condiciones de contratación. Todos los espectáculos aplazados y los nuevos que se programen a lo largo de la temporada 2020-2021 mejorarán sus condiciones de contratación.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4. Pago del 100 por cien</w:t>
      </w:r>
      <w:r w:rsidRPr="00111686">
        <w:rPr>
          <w:rFonts w:ascii="Roboto" w:hAnsi="Roboto"/>
          <w:bCs/>
        </w:rPr>
        <w:t xml:space="preserve"> de la recaudación de taquilla de los espectáculos programados en los teatros municipales.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>5. Contratación de compañías y artistas locales: se priorizará la contratación de compañías, músicos y artistas locales en los ciclos de Música y Arte</w:t>
      </w:r>
      <w:r>
        <w:rPr>
          <w:rFonts w:ascii="Roboto" w:hAnsi="Roboto"/>
          <w:bCs/>
        </w:rPr>
        <w:t xml:space="preserve"> Escénicas de la temporada 2020-</w:t>
      </w:r>
      <w:r w:rsidRPr="00111686">
        <w:rPr>
          <w:rFonts w:ascii="Roboto" w:hAnsi="Roboto"/>
          <w:bCs/>
        </w:rPr>
        <w:t>2021, siempre garantizando la calidad de la programación.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  <w:r w:rsidRPr="00111686">
        <w:rPr>
          <w:rFonts w:ascii="Roboto" w:hAnsi="Roboto"/>
          <w:bCs/>
        </w:rPr>
        <w:t>6. Mantenimiento de las convocatorias habituales: los aplazamientos de actividades no irán en ningún caso en detrimento de las convocatorias para la contratación de espectáculos previstas para la temporada 2020-2021.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  <w:bCs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7. Convocatorias de contratación de proyectos de investigación, creación o producción en las artes visuales. Se abre una convocatoria para apoyar la creación, con una dotación de 50.000 €.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8. Facilitar el uso de los espacios municipales al sector cultural.</w:t>
      </w:r>
      <w:r>
        <w:rPr>
          <w:rFonts w:ascii="Roboto" w:hAnsi="Roboto"/>
        </w:rPr>
        <w:t xml:space="preserve"> Se establecerán acuerdos de </w:t>
      </w:r>
      <w:r w:rsidRPr="00111686">
        <w:rPr>
          <w:rFonts w:ascii="Roboto" w:hAnsi="Roboto"/>
        </w:rPr>
        <w:t>colaboración con las asociaciones para poder hacer uso de los espacios municipales.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9. Agilización de pagos de facturas y servicios.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 xml:space="preserve">10. Compromiso de diálogo constante con el sector: </w:t>
      </w:r>
      <w:smartTag w:uri="urn:schemas-microsoft-com:office:smarttags" w:element="PersonName">
        <w:smartTagPr>
          <w:attr w:name="ProductID" w:val="la Concejalía"/>
        </w:smartTagPr>
        <w:r w:rsidRPr="00111686">
          <w:rPr>
            <w:rFonts w:ascii="Roboto" w:hAnsi="Roboto"/>
          </w:rPr>
          <w:t>la Concejalía</w:t>
        </w:r>
      </w:smartTag>
      <w:r w:rsidRPr="00111686">
        <w:rPr>
          <w:rFonts w:ascii="Roboto" w:hAnsi="Roboto"/>
        </w:rPr>
        <w:t xml:space="preserve"> de Cultura y Bienestar Social se compromete al diálogo frecuente con el sector cultural para analizar de forma periódica la situación y la evolución del mismo.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La línea de ayudas a espacios culturales se dirige a las personas físicas o personas jurídicas titulares de la gestión de establecimientos culturales domiciliad</w:t>
      </w:r>
      <w:r>
        <w:rPr>
          <w:rFonts w:ascii="Roboto" w:hAnsi="Roboto"/>
        </w:rPr>
        <w:t>a</w:t>
      </w:r>
      <w:r w:rsidRPr="00111686">
        <w:rPr>
          <w:rFonts w:ascii="Roboto" w:hAnsi="Roboto"/>
        </w:rPr>
        <w:t>s en Palma: librerías, galerías de arte, salas de cine, teatros, salas de música en vivo y espacios de creación con una actividad cultural abierta al público durante el año 2019.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 xml:space="preserve">La línea de ayudas a proyectos culturales </w:t>
      </w:r>
      <w:r>
        <w:rPr>
          <w:rFonts w:ascii="Roboto" w:hAnsi="Roboto"/>
        </w:rPr>
        <w:t xml:space="preserve">se </w:t>
      </w:r>
      <w:r w:rsidRPr="00111686">
        <w:rPr>
          <w:rFonts w:ascii="Roboto" w:hAnsi="Roboto"/>
        </w:rPr>
        <w:t xml:space="preserve">dirige a asociaciones y </w:t>
      </w:r>
      <w:r>
        <w:rPr>
          <w:rFonts w:ascii="Roboto" w:hAnsi="Roboto"/>
        </w:rPr>
        <w:t xml:space="preserve">a </w:t>
      </w:r>
      <w:r w:rsidRPr="00111686">
        <w:rPr>
          <w:rFonts w:ascii="Roboto" w:hAnsi="Roboto"/>
        </w:rPr>
        <w:t>empresas promotoras de proyectos culturales que contribuyen a la producción y dinamización de la cultura en Palma en los ámbitos del audiovisual, el cine, las artes escénicas, la música y la literatura.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Las bases de las convocatorias se publicarán durante el mes de junio.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La convocatoria de proyectos de investigación o creación artística se dirige a los artistas que trabajan las artes visuales desde cualquiera de sus lenguajes contemporáneos. L</w:t>
      </w:r>
      <w:r>
        <w:rPr>
          <w:rFonts w:ascii="Roboto" w:hAnsi="Roboto"/>
        </w:rPr>
        <w:t>os artistas interesados ​​deberá</w:t>
      </w:r>
      <w:r w:rsidRPr="00111686">
        <w:rPr>
          <w:rFonts w:ascii="Roboto" w:hAnsi="Roboto"/>
        </w:rPr>
        <w:t>n presentar un proyecto o proceso de creación o investigación artística que se deberá llevar a cabo en el municipio de Palma antes del 30 de noviembre de 2020.</w:t>
      </w: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</w:p>
    <w:p w:rsidR="00DF4744" w:rsidRPr="00111686" w:rsidRDefault="00DF4744" w:rsidP="00111686">
      <w:pPr>
        <w:pStyle w:val="ListParagraph"/>
        <w:spacing w:line="312" w:lineRule="auto"/>
        <w:jc w:val="both"/>
        <w:rPr>
          <w:rFonts w:ascii="Roboto" w:hAnsi="Roboto"/>
        </w:rPr>
      </w:pPr>
      <w:r w:rsidRPr="00111686">
        <w:rPr>
          <w:rFonts w:ascii="Roboto" w:hAnsi="Roboto"/>
        </w:rPr>
        <w:t>Las bases de la convocatoria se publicarán durante la primera semana de abril.</w:t>
      </w:r>
    </w:p>
    <w:p w:rsidR="00DF4744" w:rsidRPr="00111686" w:rsidRDefault="00DF4744" w:rsidP="00F668B0">
      <w:pPr>
        <w:pStyle w:val="ListParagraph"/>
        <w:spacing w:after="0" w:line="312" w:lineRule="auto"/>
        <w:jc w:val="both"/>
        <w:rPr>
          <w:rFonts w:ascii="Roboto" w:hAnsi="Roboto"/>
        </w:rPr>
      </w:pPr>
    </w:p>
    <w:sectPr w:rsidR="00DF4744" w:rsidRPr="00111686" w:rsidSect="00736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72BAC"/>
    <w:multiLevelType w:val="hybridMultilevel"/>
    <w:tmpl w:val="ED7095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0F2C81"/>
    <w:multiLevelType w:val="hybridMultilevel"/>
    <w:tmpl w:val="2F727A9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3A3"/>
    <w:rsid w:val="00111686"/>
    <w:rsid w:val="001524FC"/>
    <w:rsid w:val="001B7168"/>
    <w:rsid w:val="001D0F8A"/>
    <w:rsid w:val="00280CEA"/>
    <w:rsid w:val="0032432F"/>
    <w:rsid w:val="004E3DB7"/>
    <w:rsid w:val="0073649A"/>
    <w:rsid w:val="007704DF"/>
    <w:rsid w:val="007C79B5"/>
    <w:rsid w:val="008653A3"/>
    <w:rsid w:val="008D632C"/>
    <w:rsid w:val="009C3383"/>
    <w:rsid w:val="00AD5D6D"/>
    <w:rsid w:val="00C26F5A"/>
    <w:rsid w:val="00C67A57"/>
    <w:rsid w:val="00D008A2"/>
    <w:rsid w:val="00D926CA"/>
    <w:rsid w:val="00DF4744"/>
    <w:rsid w:val="00EA1486"/>
    <w:rsid w:val="00F6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586</Words>
  <Characters>3225</Characters>
  <Application>Microsoft Office Outlook</Application>
  <DocSecurity>0</DocSecurity>
  <Lines>0</Lines>
  <Paragraphs>0</Paragraphs>
  <ScaleCrop>false</ScaleCrop>
  <Company>IMI de Palma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a01711</dc:creator>
  <cp:keywords/>
  <dc:description/>
  <cp:lastModifiedBy>Administrador</cp:lastModifiedBy>
  <cp:revision>3</cp:revision>
  <dcterms:created xsi:type="dcterms:W3CDTF">2020-03-30T15:54:00Z</dcterms:created>
  <dcterms:modified xsi:type="dcterms:W3CDTF">2020-03-30T16:00:00Z</dcterms:modified>
</cp:coreProperties>
</file>